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330" w:rsidRDefault="008C6330" w:rsidP="001B108E">
      <w:pPr>
        <w:spacing w:line="360" w:lineRule="auto"/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t>Übungsssätze</w:t>
      </w:r>
    </w:p>
    <w:p w:rsidR="001B108E" w:rsidRDefault="008C6330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Ha</w:t>
      </w:r>
      <w:r w:rsidR="001B108E">
        <w:rPr>
          <w:noProof/>
          <w:lang w:eastAsia="de-DE"/>
        </w:rPr>
        <w:t>nnibal, imperator magna virtute, Romanos superare in animo habet.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Europa, puella summa pulchritudine, in tergo tauri sedere audet.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Iupiter, deus summae potestatis, Europam in Cretam insulam portat.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Paulus, puer quindecim annorum, multos libros legere debet.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Hannibal, quem Romani diu timent, in Italiam venire potest.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Europa, quam Iupiter conspicit, in litore maris cum amicis ludit.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Cadmus patriam relinquere et Europam quaerere debet.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Ariadne, cui adulescens alienus placet, Theseo filum dat.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Quod Iovi puella placet, eam rapere in animo habet.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Theseo labyrinthum intrare et Minotaurum interficere licet.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Quod Theseus patriam suam adiuvare constituit, navem ascendere et in Cretam insulam venire debet.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Homerus nobis multas res de Helena et pulchritudine eius narrat.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Lucretia, quae domi est et laborat, Tarquinio placet. Femina pulchra ei resistere non potest.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Homerus nobis multas res de Graecis et bello eorum narrat.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lang w:eastAsia="de-DE"/>
        </w:rPr>
      </w:pPr>
      <w:r>
        <w:rPr>
          <w:noProof/>
          <w:lang w:eastAsia="de-DE"/>
        </w:rPr>
        <w:t>Iovi et Europae tres filii sunt. Scitisne nomina eorum?</w:t>
      </w:r>
    </w:p>
    <w:p w:rsidR="001B108E" w:rsidRDefault="001B108E" w:rsidP="008C6330">
      <w:pPr>
        <w:pStyle w:val="Listenabsatz"/>
        <w:numPr>
          <w:ilvl w:val="0"/>
          <w:numId w:val="1"/>
        </w:numPr>
        <w:spacing w:line="600" w:lineRule="auto"/>
        <w:rPr>
          <w:noProof/>
          <w:sz w:val="24"/>
          <w:szCs w:val="24"/>
          <w:lang w:val="en-US"/>
        </w:rPr>
      </w:pPr>
      <w:r w:rsidRPr="001B108E">
        <w:rPr>
          <w:noProof/>
          <w:sz w:val="24"/>
          <w:szCs w:val="24"/>
          <w:lang w:val="en-US"/>
        </w:rPr>
        <w:t>Quod Europam rapere in animo habet, iupiter se in taurum niveum convertit.</w:t>
      </w:r>
    </w:p>
    <w:p w:rsidR="001B108E" w:rsidRDefault="008C6330" w:rsidP="008C6330">
      <w:pPr>
        <w:pStyle w:val="Listenabsatz"/>
        <w:numPr>
          <w:ilvl w:val="0"/>
          <w:numId w:val="1"/>
        </w:numPr>
        <w:spacing w:line="60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Quamquam Ariadna Theseo placet, tamen eam in Naxo insula relinquit.</w:t>
      </w:r>
    </w:p>
    <w:p w:rsidR="008C6330" w:rsidRDefault="008C6330" w:rsidP="008C6330">
      <w:pPr>
        <w:pStyle w:val="Listenabsatz"/>
        <w:numPr>
          <w:ilvl w:val="0"/>
          <w:numId w:val="1"/>
        </w:numPr>
        <w:spacing w:line="60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Quod homines deos videre non debent, Iupiter se saepe in animalia varia convertit.</w:t>
      </w:r>
    </w:p>
    <w:p w:rsidR="008C6330" w:rsidRDefault="008C6330" w:rsidP="008C6330">
      <w:pPr>
        <w:pStyle w:val="Listenabsatz"/>
        <w:numPr>
          <w:ilvl w:val="0"/>
          <w:numId w:val="1"/>
        </w:numPr>
        <w:spacing w:line="600" w:lineRule="auto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Parentes, qui domi manent, flent, quod filii eorum ad Minotaurum mittere debent.</w:t>
      </w:r>
    </w:p>
    <w:p w:rsidR="00601918" w:rsidRPr="008C6330" w:rsidRDefault="008C6330" w:rsidP="00251CE7">
      <w:pPr>
        <w:pStyle w:val="Listenabsatz"/>
        <w:numPr>
          <w:ilvl w:val="0"/>
          <w:numId w:val="1"/>
        </w:numPr>
        <w:spacing w:line="360" w:lineRule="auto"/>
        <w:rPr>
          <w:lang w:val="en-US"/>
        </w:rPr>
      </w:pPr>
      <w:r w:rsidRPr="008C6330">
        <w:rPr>
          <w:noProof/>
          <w:sz w:val="24"/>
          <w:szCs w:val="24"/>
          <w:lang w:val="en-US"/>
        </w:rPr>
        <w:t>Quod Aegeo, patri Thesei, spes (Hoffnung) nulla est, in mare saltat.</w:t>
      </w:r>
    </w:p>
    <w:sectPr w:rsidR="00601918" w:rsidRPr="008C6330" w:rsidSect="008C633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466B2"/>
    <w:multiLevelType w:val="hybridMultilevel"/>
    <w:tmpl w:val="2B62C1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D2B"/>
    <w:rsid w:val="001B108E"/>
    <w:rsid w:val="003E67A1"/>
    <w:rsid w:val="005A44BF"/>
    <w:rsid w:val="00601918"/>
    <w:rsid w:val="00814D2B"/>
    <w:rsid w:val="008C6330"/>
    <w:rsid w:val="00D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79986-9178-48F5-84C7-D78754AD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108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cp:lastPrinted>2020-03-02T09:38:00Z</cp:lastPrinted>
  <dcterms:created xsi:type="dcterms:W3CDTF">2020-03-02T13:20:00Z</dcterms:created>
  <dcterms:modified xsi:type="dcterms:W3CDTF">2020-03-02T13:20:00Z</dcterms:modified>
</cp:coreProperties>
</file>